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8386"/>
            <w:shd w:val="clear" w:fill="1F4E79"/>
          </w:tcPr>
          <w:p>
            <w:pPr>
              <w:spacing w:before="200"/>
            </w:pPr>
            <w:r>
              <w:rPr>
                <w:rFonts w:ascii="Calibri" w:hAnsi="Calibri"/>
                <w:b/>
                <w:i w:val="0"/>
                <w:color w:val="FFFFFF"/>
                <w:sz w:val="34"/>
              </w:rPr>
              <w:t>RECETA MÉDICA PRIVADA</w:t>
            </w:r>
          </w:p>
          <w:p>
            <w:pPr>
              <w:spacing w:after="200"/>
            </w:pPr>
            <w:r>
              <w:rPr>
                <w:rFonts w:ascii="Calibri" w:hAnsi="Calibri"/>
                <w:b w:val="0"/>
                <w:i w:val="0"/>
                <w:color w:val="D5E2F0"/>
                <w:sz w:val="18"/>
              </w:rPr>
              <w:t>Modelo conforme al Real Decreto 1718/2010</w:t>
            </w:r>
          </w:p>
        </w:tc>
        <w:tc>
          <w:tcPr>
            <w:tcW w:type="dxa" w:w="181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56000" cy="756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receta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6B7C93"/>
                <w:sz w:val="13"/>
              </w:rPr>
              <w:t>DriCloud</w:t>
              <w:br/>
              <w:t>Software médico para clínicas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PRESCRIPTOR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Nombre y apellidos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colegiado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Especialidad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Dirección del consultorio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Teléfono de contacto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PACIENTE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Nombre y apellidos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Fecha de nacimiento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/ NIE (si está disponible)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PRESCRIPCIÓN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Medicamento o principio activo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Dosificación y forma farmacéutica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Vía de administración (si procede)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Formato: n° de unidades por envase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envases o unidades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Posología: dosis y frecuencia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Duración del tratamiento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Fecha de prescripción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Fecha prevista de dispensación (si procede)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10200"/>
      </w:tblGrid>
      <w:tr>
        <w:tc>
          <w:tcPr>
            <w:tcW w:type="dxa" w:w="10200"/>
            <w:shd w:val="clear" w:fill="FFF4E5"/>
          </w:tcPr>
          <w:p>
            <w:r>
              <w:rPr>
                <w:rFonts w:ascii="Calibri" w:hAnsi="Calibri"/>
                <w:b/>
                <w:i w:val="0"/>
                <w:color w:val="1A2B42"/>
                <w:sz w:val="18"/>
              </w:rPr>
              <w:t xml:space="preserve">IMPORTANTE: </w:t>
            </w:r>
            <w:r>
              <w:rPr>
                <w:rFonts w:ascii="Calibri" w:hAnsi="Calibri"/>
                <w:b w:val="0"/>
                <w:i w:val="0"/>
                <w:color w:val="1A2B42"/>
                <w:sz w:val="18"/>
              </w:rPr>
              <w:t>la receta médica privada es válida durante diez días naturales a partir de la fecha de prescripción o, en su caso, de la fecha prevista de dispensación. Los medicamentos estupefacientes y psicótropos se rigen además por su normativa específica.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INFORMACIÓN AL PACIENTE</w:t>
            </w:r>
          </w:p>
        </w:tc>
      </w:tr>
    </w:tbl>
    <w:p>
      <w:r>
        <w:rPr>
          <w:rFonts w:ascii="Calibri" w:hAnsi="Calibri"/>
          <w:b w:val="0"/>
          <w:i/>
          <w:color w:val="6B7C93"/>
          <w:sz w:val="16"/>
        </w:rPr>
        <w:t>El RD 1718/2010 prevé una hoja de información al paciente separable de la receta. Anota aquí las instrucciones de uso en lenguaje claro.</w:t>
      </w:r>
    </w:p>
    <w:p>
      <w:r>
        <w:rPr>
          <w:rFonts w:ascii="Calibri" w:hAnsi="Calibri"/>
          <w:b/>
          <w:i w:val="0"/>
          <w:color w:val="1A2B42"/>
          <w:sz w:val="19"/>
        </w:rPr>
        <w:t>Posología, duración y advertencias para el paciente: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60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y rúbrica del prescriptor</w:t>
            </w:r>
          </w:p>
        </w:tc>
        <w:tc>
          <w:tcPr>
            <w:tcW w:type="dxa" w:w="5100"/>
          </w:tcPr>
          <w:p>
            <w:pPr>
              <w:spacing w:before="60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Sello del centro (si procede)</w:t>
            </w:r>
          </w:p>
        </w:tc>
      </w:tr>
    </w:tbl>
    <w:p/>
    <w:p>
      <w:r>
        <w:rPr>
          <w:rFonts w:ascii="Calibri" w:hAnsi="Calibri"/>
          <w:b w:val="0"/>
          <w:i/>
          <w:color w:val="6B7C93"/>
          <w:sz w:val="16"/>
        </w:rPr>
        <w:t>Modelo orientativo para prescripción en el ámbito privado. La receta electrónica privada y los tratamientos con visado o normativa especial tienen requisitos adicionales. Revísalo con tu asesoría o colegio profesional antes de usarlo.</w:t>
      </w:r>
    </w:p>
    <w:p>
      <w:pPr>
        <w:jc w:val="center"/>
      </w:pPr>
      <w:r>
        <w:rPr>
          <w:rFonts w:ascii="Calibri" w:hAnsi="Calibri"/>
          <w:b w:val="0"/>
          <w:i w:val="0"/>
          <w:color w:val="6B7C93"/>
          <w:sz w:val="16"/>
        </w:rPr>
        <w:t>Plantilla facilitada por DriCloud · Software médico para clínicas · dricloud.com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DriCloud - Massive Bionics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