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rPr>
          <w:trHeight w:val="2200" w:hRule="atLeast"/>
        </w:trP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4D76" w:color="auto" w:val="clear"/>
            <w:tcMar>
              <w:top w:type="dxa" w:w="360"/>
              <w:left w:type="dxa" w:w="140"/>
              <w:bottom w:type="dxa" w:w="360"/>
              <w:right w:type="dxa" w:w="140"/>
            </w:tcMar>
            <w:vAlign w:val="top"/>
          </w:tcPr>
          <w:p>
            <w:pPr>
              <w:spacing w:after="2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ESCALA EVA DEL DOLOR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D7E2EF"/>
                <w:sz w:val="22"/>
                <w:szCs w:val="22"/>
              </w:rPr>
              <w:t xml:space="preserve">Cara del paciente. Imprimir a doble cara: la regla del profesional está al dorso.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before="0"/>
              <w:jc w:val="center"/>
            </w:pPr>
            <w:r>
              <w:rPr>
                <w:rFonts w:ascii="Calibri" w:cs="Calibri" w:eastAsia="Calibri" w:hAnsi="Calibri"/>
                <w:color w:val="6E7B91"/>
                <w:sz w:val="18"/>
                <w:szCs w:val="18"/>
              </w:rPr>
              <w:t xml:space="preserve">DriCloud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E7B91"/>
                <w:sz w:val="18"/>
                <w:szCs w:val="18"/>
              </w:rPr>
              <w:t xml:space="preserve">Software médico para clínicas</w:t>
            </w:r>
          </w:p>
        </w:tc>
      </w:tr>
    </w:tbl>
    <w:p>
      <w:pPr>
        <w:spacing w:after="700"/>
      </w:pPr>
    </w:p>
    <w:p>
      <w:pPr>
        <w:spacing w:after="160" w:before="0"/>
        <w:jc w:val="center"/>
      </w:pPr>
      <w:r>
        <w:rPr>
          <w:rFonts w:ascii="Calibri" w:cs="Calibri" w:eastAsia="Calibri" w:hAnsi="Calibri"/>
          <w:b/>
          <w:bCs/>
          <w:color w:val="2C4D76"/>
          <w:sz w:val="32"/>
          <w:szCs w:val="32"/>
        </w:rPr>
        <w:t xml:space="preserve">¿Cuánto le duele ahora?</w:t>
      </w:r>
    </w:p>
    <w:p>
      <w:pPr>
        <w:spacing w:after="900" w:before="0"/>
        <w:jc w:val="center"/>
      </w:pPr>
      <w:r>
        <w:rPr>
          <w:rFonts w:ascii="Calibri" w:cs="Calibri" w:eastAsia="Calibri" w:hAnsi="Calibri"/>
          <w:color w:val="1E2A3A"/>
          <w:sz w:val="23"/>
          <w:szCs w:val="23"/>
        </w:rPr>
        <w:t xml:space="preserve">Señale con una raya el punto de la línea que mejor represente su dolor en este momento.</w:t>
      </w:r>
    </w:p>
    <w:tbl>
      <w:tblPr>
        <w:tblW w:type="dxa" w:w="5669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5"/>
        <w:gridCol w:w="2834"/>
      </w:tblGrid>
      <w:tr>
        <w:trPr>
          <w:trHeight w:val="320" w:hRule="exact"/>
        </w:trPr>
        <w:tc>
          <w:tcPr>
            <w:tcW w:type="dxa" w:w="2835"/>
            <w:tcBorders>
              <w:top w:val="none" w:color="FFFFFF" w:sz="0"/>
              <w:left w:val="single" w:color="1E2A3A" w:sz="14"/>
              <w:bottom w:val="single" w:color="1E2A3A" w:sz="14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2834"/>
            <w:tcBorders>
              <w:top w:val="none" w:color="FFFFFF" w:sz="0"/>
              <w:left w:val="none" w:color="FFFFFF" w:sz="0"/>
              <w:bottom w:val="single" w:color="1E2A3A" w:sz="14"/>
              <w:right w:val="single" w:color="1E2A3A" w:sz="14"/>
            </w:tcBorders>
          </w:tcPr>
          <w:p>
            <w:pPr>
              <w:spacing w:after="0"/>
            </w:pPr>
          </w:p>
        </w:tc>
      </w:tr>
      <w:tr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Sin dolor</w:t>
            </w:r>
          </w:p>
        </w:tc>
        <w:tc>
          <w:tcPr>
            <w:tcW w:type="dxa" w:w="28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El peor dolor imaginable</w:t>
            </w:r>
          </w:p>
        </w:tc>
      </w:tr>
    </w:tbl>
    <w:p>
      <w:pPr>
        <w:spacing w:after="100" w:before="900"/>
        <w:jc w:val="center"/>
      </w:pPr>
      <w:r>
        <w:rPr>
          <w:rFonts w:ascii="Calibri" w:cs="Calibri" w:eastAsia="Calibri" w:hAnsi="Calibri"/>
          <w:color w:val="6E7B91"/>
          <w:sz w:val="20"/>
          <w:szCs w:val="20"/>
        </w:rPr>
        <w:t xml:space="preserve">No hay respuestas buenas ni malas, y no hace falta que encaje con ningún número. Solo marque dónde está su dolor.</w:t>
      </w:r>
    </w:p>
    <w:p>
      <w:r>
        <w:br w:type="pag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C4D76" w:sz="4"/>
              <w:left w:val="single" w:color="2C4D76" w:sz="4"/>
              <w:bottom w:val="single" w:color="2C4D76" w:sz="4"/>
              <w:right w:val="single" w:color="2C4D76" w:sz="4"/>
            </w:tcBorders>
            <w:shd w:fill="2C4D7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DATOS DEL CENTRO Y DEL PACIENTE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rHeight w:val="560" w:hRule="atLeast"/>
        </w:trPr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Centro o consulta</w:t>
            </w:r>
          </w:p>
        </w:tc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Profesional responsable</w:t>
            </w:r>
          </w:p>
        </w:tc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Paciente</w:t>
            </w:r>
          </w:p>
        </w:tc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N.º de historia</w:t>
            </w:r>
          </w:p>
        </w:tc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Fecha y hora</w:t>
            </w:r>
          </w:p>
        </w:tc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C4D76" w:sz="4"/>
              <w:left w:val="single" w:color="2C4D76" w:sz="4"/>
              <w:bottom w:val="single" w:color="2C4D76" w:sz="4"/>
              <w:right w:val="single" w:color="2C4D76" w:sz="4"/>
            </w:tcBorders>
            <w:shd w:fill="2C4D7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REGLA DE 100 MILÍMETROS</w:t>
            </w:r>
          </w:p>
        </w:tc>
      </w:tr>
    </w:tbl>
    <w:p>
      <w:pPr>
        <w:spacing w:after="100" w:before="100"/>
      </w:pPr>
      <w:r>
        <w:rPr>
          <w:rFonts w:ascii="Calibri" w:cs="Calibri" w:eastAsia="Calibri" w:hAnsi="Calibri"/>
          <w:color w:val="6E7B91"/>
          <w:sz w:val="17"/>
          <w:szCs w:val="17"/>
        </w:rPr>
        <w:t xml:space="preserve">Mida desde el extremo izquierdo de la línea hasta la marca del paciente. El resultado va de 0 a 100 mm.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3968"/>
      </w:tblGrid>
      <w:tr>
        <w:trPr>
          <w:trHeight w:val="260" w:hRule="exact"/>
        </w:trPr>
        <w:tc>
          <w:tcPr>
            <w:tcW w:type="dxa" w:w="567"/>
            <w:tcBorders>
              <w:top w:val="none" w:color="FFFFFF" w:sz="0"/>
              <w:left w:val="single" w:color="1E2A3A" w:sz="8"/>
              <w:bottom w:val="single" w:color="1E2A3A" w:sz="8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one" w:color="FFFFFF" w:sz="0"/>
              <w:left w:val="single" w:color="1E2A3A" w:sz="8"/>
              <w:bottom w:val="single" w:color="1E2A3A" w:sz="8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one" w:color="FFFFFF" w:sz="0"/>
              <w:left w:val="single" w:color="1E2A3A" w:sz="8"/>
              <w:bottom w:val="single" w:color="1E2A3A" w:sz="8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one" w:color="FFFFFF" w:sz="0"/>
              <w:left w:val="single" w:color="1E2A3A" w:sz="8"/>
              <w:bottom w:val="single" w:color="1E2A3A" w:sz="8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one" w:color="FFFFFF" w:sz="0"/>
              <w:left w:val="single" w:color="1E2A3A" w:sz="8"/>
              <w:bottom w:val="single" w:color="1E2A3A" w:sz="8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one" w:color="FFFFFF" w:sz="0"/>
              <w:left w:val="single" w:color="1E2A3A" w:sz="8"/>
              <w:bottom w:val="single" w:color="1E2A3A" w:sz="8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one" w:color="FFFFFF" w:sz="0"/>
              <w:left w:val="single" w:color="1E2A3A" w:sz="8"/>
              <w:bottom w:val="single" w:color="1E2A3A" w:sz="8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one" w:color="FFFFFF" w:sz="0"/>
              <w:left w:val="single" w:color="1E2A3A" w:sz="8"/>
              <w:bottom w:val="single" w:color="1E2A3A" w:sz="8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one" w:color="FFFFFF" w:sz="0"/>
              <w:left w:val="single" w:color="1E2A3A" w:sz="8"/>
              <w:bottom w:val="single" w:color="1E2A3A" w:sz="8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one" w:color="FFFFFF" w:sz="0"/>
              <w:left w:val="single" w:color="1E2A3A" w:sz="8"/>
              <w:bottom w:val="single" w:color="1E2A3A" w:sz="8"/>
              <w:right w:val="single" w:color="1E2A3A" w:sz="8"/>
            </w:tcBorders>
          </w:tcPr>
          <w:p>
            <w:pPr>
              <w:spacing w:after="0"/>
            </w:pP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E7B91"/>
                <w:sz w:val="14"/>
                <w:szCs w:val="14"/>
              </w:rPr>
              <w:t xml:space="preserve">0</w:t>
            </w:r>
          </w:p>
        </w:tc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E7B91"/>
                <w:sz w:val="14"/>
                <w:szCs w:val="14"/>
              </w:rPr>
              <w:t xml:space="preserve">10</w:t>
            </w:r>
          </w:p>
        </w:tc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E7B91"/>
                <w:sz w:val="14"/>
                <w:szCs w:val="14"/>
              </w:rPr>
              <w:t xml:space="preserve">20</w:t>
            </w:r>
          </w:p>
        </w:tc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E7B91"/>
                <w:sz w:val="14"/>
                <w:szCs w:val="14"/>
              </w:rPr>
              <w:t xml:space="preserve">30</w:t>
            </w:r>
          </w:p>
        </w:tc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E7B91"/>
                <w:sz w:val="14"/>
                <w:szCs w:val="14"/>
              </w:rPr>
              <w:t xml:space="preserve">40</w:t>
            </w:r>
          </w:p>
        </w:tc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E7B91"/>
                <w:sz w:val="14"/>
                <w:szCs w:val="14"/>
              </w:rPr>
              <w:t xml:space="preserve">50</w:t>
            </w:r>
          </w:p>
        </w:tc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E7B91"/>
                <w:sz w:val="14"/>
                <w:szCs w:val="14"/>
              </w:rPr>
              <w:t xml:space="preserve">60</w:t>
            </w:r>
          </w:p>
        </w:tc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E7B91"/>
                <w:sz w:val="14"/>
                <w:szCs w:val="14"/>
              </w:rPr>
              <w:t xml:space="preserve">70</w:t>
            </w:r>
          </w:p>
        </w:tc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E7B91"/>
                <w:sz w:val="14"/>
                <w:szCs w:val="14"/>
              </w:rPr>
              <w:t xml:space="preserve">80</w:t>
            </w:r>
          </w:p>
        </w:tc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tabs>
                <w:tab w:val="right" w:pos="567"/>
              </w:tabs>
              <w:spacing w:after="0"/>
            </w:pPr>
            <w:r>
              <w:rPr>
                <w:rFonts w:ascii="Calibri" w:cs="Calibri" w:eastAsia="Calibri" w:hAnsi="Calibri"/>
                <w:color w:val="6E7B91"/>
                <w:sz w:val="14"/>
                <w:szCs w:val="14"/>
              </w:rPr>
              <w:t xml:space="preserve">90	100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E7B91"/>
                <w:sz w:val="14"/>
                <w:szCs w:val="14"/>
              </w:rPr>
              <w:t xml:space="preserve"/>
            </w:r>
          </w:p>
        </w:tc>
      </w:tr>
    </w:tbl>
    <w:p>
      <w:pPr>
        <w:spacing w:after="100" w:before="100"/>
      </w:pPr>
      <w:r>
        <w:rPr>
          <w:rFonts w:ascii="Calibri" w:cs="Calibri" w:eastAsia="Calibri" w:hAnsi="Calibri"/>
          <w:color w:val="6E7B91"/>
          <w:sz w:val="17"/>
          <w:szCs w:val="17"/>
        </w:rPr>
        <w:t xml:space="preserve">Control de impresión: si esta regla no mide 100 mm exactos con un metro encima, la hoja se ha reescalado. Vuelve a imprimirla a tamaño real, sin "ajustar al papel", o la medición no vale.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C4D76" w:sz="4"/>
              <w:left w:val="single" w:color="2C4D76" w:sz="4"/>
              <w:bottom w:val="single" w:color="2C4D76" w:sz="4"/>
              <w:right w:val="single" w:color="2C4D76" w:sz="4"/>
            </w:tcBorders>
            <w:shd w:fill="2C4D7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INTERPRETACIÓN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Puntuación sobre 10</w:t>
            </w:r>
          </w:p>
        </w:tc>
        <w:tc>
          <w:tcPr>
            <w:tcW w:type="dxa" w:w="66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Interpretación habitual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0</w:t>
            </w:r>
          </w:p>
        </w:tc>
        <w:tc>
          <w:tcPr>
            <w:tcW w:type="dxa" w:w="66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Sin dolor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1 a 3</w:t>
            </w:r>
          </w:p>
        </w:tc>
        <w:tc>
          <w:tcPr>
            <w:tcW w:type="dxa" w:w="66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Dolor leve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4 a 6</w:t>
            </w:r>
          </w:p>
        </w:tc>
        <w:tc>
          <w:tcPr>
            <w:tcW w:type="dxa" w:w="66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Dolor moderado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7 a 10</w:t>
            </w:r>
          </w:p>
        </w:tc>
        <w:tc>
          <w:tcPr>
            <w:tcW w:type="dxa" w:w="66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Dolor intenso</w:t>
            </w:r>
          </w:p>
        </w:tc>
      </w:tr>
    </w:tbl>
    <w:p>
      <w:pPr>
        <w:spacing w:after="100" w:before="100"/>
      </w:pPr>
      <w:r>
        <w:rPr>
          <w:rFonts w:ascii="Calibri" w:cs="Calibri" w:eastAsia="Calibri" w:hAnsi="Calibri"/>
          <w:color w:val="6E7B91"/>
          <w:sz w:val="17"/>
          <w:szCs w:val="17"/>
        </w:rPr>
        <w:t xml:space="preserve">Estos tramos son una convención de uso para ordenar la respuesta asistencial, no puntos de corte validados. Lo que informa es la trayectoria del mismo paciente medida siempre igual.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C4D76" w:sz="4"/>
              <w:left w:val="single" w:color="2C4D76" w:sz="4"/>
              <w:bottom w:val="single" w:color="2C4D76" w:sz="4"/>
              <w:right w:val="single" w:color="2C4D76" w:sz="4"/>
            </w:tcBorders>
            <w:shd w:fill="2C4D7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REGISTRO SERIADO</w:t>
            </w:r>
          </w:p>
        </w:tc>
      </w:tr>
    </w:tbl>
    <w:p>
      <w:pPr>
        <w:spacing w:after="100" w:before="100"/>
      </w:pPr>
      <w:r>
        <w:rPr>
          <w:rFonts w:ascii="Calibri" w:cs="Calibri" w:eastAsia="Calibri" w:hAnsi="Calibri"/>
          <w:color w:val="6E7B91"/>
          <w:sz w:val="17"/>
          <w:szCs w:val="17"/>
        </w:rPr>
        <w:t xml:space="preserve">Anota siempre qué escala has usado. Un estudio español publicado en Ene en 2016 (Camacho Barreiro L, Pesado Cartelle J, Rumbo-Prieto JM; 10(1)) midió el dolor de los mismos pacientes con las tres escalas a la vez: la concordancia entre la EVA y la numérica fue moderada (CCI 0,69) y los autores concluyen que no son intercambiables.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0"/>
        <w:gridCol w:w="950"/>
        <w:gridCol w:w="1250"/>
        <w:gridCol w:w="800"/>
        <w:gridCol w:w="2338"/>
        <w:gridCol w:w="1550"/>
        <w:gridCol w:w="1300"/>
      </w:tblGrid>
      <w:tr>
        <w:trPr>
          <w:tblHeader/>
        </w:trPr>
        <w:tc>
          <w:tcPr>
            <w:tcW w:type="dxa" w:w="14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Fecha y hora</w:t>
            </w:r>
          </w:p>
        </w:tc>
        <w:tc>
          <w:tcPr>
            <w:tcW w:type="dxa" w:w="9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Escala</w:t>
            </w:r>
          </w:p>
        </w:tc>
        <w:tc>
          <w:tcPr>
            <w:tcW w:type="dxa" w:w="12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Momento</w:t>
            </w:r>
          </w:p>
        </w:tc>
        <w:tc>
          <w:tcPr>
            <w:tcW w:type="dxa" w:w="8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Valor</w:t>
            </w:r>
          </w:p>
        </w:tc>
        <w:tc>
          <w:tcPr>
            <w:tcW w:type="dxa" w:w="2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Analgesia administrada</w:t>
            </w:r>
          </w:p>
        </w:tc>
        <w:tc>
          <w:tcPr>
            <w:tcW w:type="dxa" w:w="15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Reevaluación</w:t>
            </w:r>
          </w:p>
        </w:tc>
        <w:tc>
          <w:tcPr>
            <w:tcW w:type="dxa" w:w="13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Firma</w:t>
            </w:r>
          </w:p>
        </w:tc>
      </w:tr>
      <w:tr>
        <w:trPr>
          <w:trHeight w:val="400" w:hRule="atLeast"/>
        </w:trPr>
        <w:tc>
          <w:tcPr>
            <w:tcW w:type="dxa" w:w="14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2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4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2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4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2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4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2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5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</w:tbl>
    <w:p>
      <w:pPr>
        <w:spacing w:after="100" w:before="100"/>
      </w:pPr>
      <w:r>
        <w:rPr>
          <w:rFonts w:ascii="Calibri" w:cs="Calibri" w:eastAsia="Calibri" w:hAnsi="Calibri"/>
          <w:color w:val="6E7B91"/>
          <w:sz w:val="17"/>
          <w:szCs w:val="17"/>
        </w:rPr>
        <w:t xml:space="preserve">Escala: EVA, EVN (numérica) o EVS (verbal simple). Momento: reposo o movimiento.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C4D76" w:sz="4"/>
              <w:left w:val="single" w:color="2C4D76" w:sz="4"/>
              <w:bottom w:val="single" w:color="2C4D76" w:sz="4"/>
              <w:right w:val="single" w:color="2C4D76" w:sz="4"/>
            </w:tcBorders>
            <w:shd w:fill="2C4D7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CUANDO EL PACIENTE NO PUEDE AUTOINFORMAR</w:t>
            </w:r>
          </w:p>
        </w:tc>
      </w:tr>
    </w:tbl>
    <w:p>
      <w:pPr>
        <w:spacing w:after="100" w:before="100"/>
      </w:pPr>
      <w:r>
        <w:rPr>
          <w:rFonts w:ascii="Calibri" w:cs="Calibri" w:eastAsia="Calibri" w:hAnsi="Calibri"/>
          <w:color w:val="6E7B91"/>
          <w:sz w:val="17"/>
          <w:szCs w:val="17"/>
        </w:rPr>
        <w:t xml:space="preserve">Si el paciente está sedado, intubado, con deterioro cognitivo avanzado o es demasiado pequeño, el autoinforme no se sustituye por la impresión del profesional, sino por una escala de observación conductual (expresión facial, movimientos, tensión muscular, vocalización y adaptación al respirador). En niños, las escalas gráficas se consideran válidas a partir de los cuatro años; por debajo se usan escalas de caras, de color o medidas conductuales.</w:t>
      </w:r>
    </w:p>
    <w:p>
      <w:pPr>
        <w:spacing w:after="100" w:before="100"/>
      </w:pPr>
      <w:r>
        <w:rPr>
          <w:rFonts w:ascii="Calibri" w:cs="Calibri" w:eastAsia="Calibri" w:hAnsi="Calibri"/>
          <w:color w:val="6E7B91"/>
          <w:sz w:val="17"/>
          <w:szCs w:val="17"/>
        </w:rPr>
        <w:t xml:space="preserve">Fuentes: definición de dolor de la IASP revisada en 2020; Ene 2016;10(1); Rev Soc Esp Dolor 2004;11(6):360-369. Esta hoja es un modelo de apoyo y no sustituye al protocolo de tu centro.</w:t>
      </w:r>
    </w:p>
    <w:sectPr>
      <w:footerReference w:type="default" r:id="rId7"/>
      <w:pgSz w:w="11906" w:h="16838" w:orient="portrait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E7B91"/>
        <w:sz w:val="15"/>
        <w:szCs w:val="15"/>
      </w:rPr>
      <w:t xml:space="preserve">Plantilla gratuita de DriCloud, software médico para clínicas · dricloud.com/plantillas-clinicas/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702eedf89cd8553191de7e99b7ec5fd6d12389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Escala EVA del dolor</dc:title>
  <dc:creator>DriCloud</dc:creator>
  <cp:lastModifiedBy>Un-named</cp:lastModifiedBy>
  <cp:revision>1</cp:revision>
  <dcterms:created xsi:type="dcterms:W3CDTF">2026-10-20T21:23:49.081Z</dcterms:created>
  <dcterms:modified xsi:type="dcterms:W3CDTF">2026-10-20T21:23:49.081Z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