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rPr>
          <w:trHeight w:val="2200" w:hRule="atLeast"/>
        </w:trP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4D76" w:color="auto" w:val="clear"/>
            <w:tcMar>
              <w:top w:type="dxa" w:w="360"/>
              <w:left w:type="dxa" w:w="140"/>
              <w:bottom w:type="dxa" w:w="360"/>
              <w:right w:type="dxa" w:w="140"/>
            </w:tcMar>
            <w:vAlign w:val="top"/>
          </w:tcPr>
          <w:p>
            <w:pPr>
              <w:spacing w:after="2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0"/>
                <w:szCs w:val="40"/>
              </w:rPr>
              <w:t xml:space="preserve">ESCALA DE NORTON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D7E2EF"/>
                <w:sz w:val="22"/>
                <w:szCs w:val="22"/>
              </w:rPr>
              <w:t xml:space="preserve">Valoración del riesgo de úlceras por presión. Escala inversa: a menor puntuación, mayor riesgo.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876300" cy="876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 w:before="0"/>
              <w:jc w:val="center"/>
            </w:pPr>
            <w:r>
              <w:rPr>
                <w:rFonts w:ascii="Calibri" w:cs="Calibri" w:eastAsia="Calibri" w:hAnsi="Calibri"/>
                <w:color w:val="6E7B91"/>
                <w:sz w:val="18"/>
                <w:szCs w:val="18"/>
              </w:rPr>
              <w:t xml:space="preserve">DriCloud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6E7B91"/>
                <w:sz w:val="18"/>
                <w:szCs w:val="18"/>
              </w:rPr>
              <w:t xml:space="preserve">Software médico para clínicas</w:t>
            </w:r>
          </w:p>
        </w:tc>
      </w:tr>
    </w:tbl>
    <w:p>
      <w:pPr>
        <w:spacing w:after="3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C4D76" w:sz="4"/>
              <w:left w:val="single" w:color="2C4D76" w:sz="4"/>
              <w:bottom w:val="single" w:color="2C4D76" w:sz="4"/>
              <w:right w:val="single" w:color="2C4D76" w:sz="4"/>
            </w:tcBorders>
            <w:shd w:fill="2C4D7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DATOS DEL CENTRO Y DEL PACIENTE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rHeight w:val="560" w:hRule="atLeast"/>
        </w:trPr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21"/>
                <w:szCs w:val="21"/>
              </w:rPr>
              <w:t xml:space="preserve">Centro o consulta</w:t>
            </w:r>
          </w:p>
        </w:tc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21"/>
                <w:szCs w:val="21"/>
              </w:rPr>
              <w:t xml:space="preserve">Profesional responsable</w:t>
            </w:r>
          </w:p>
        </w:tc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21"/>
                <w:szCs w:val="21"/>
              </w:rPr>
              <w:t xml:space="preserve">Paciente</w:t>
            </w:r>
          </w:p>
        </w:tc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21"/>
                <w:szCs w:val="21"/>
              </w:rPr>
              <w:t xml:space="preserve">N.º de historia</w:t>
            </w:r>
          </w:p>
        </w:tc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21"/>
                <w:szCs w:val="21"/>
              </w:rPr>
              <w:t xml:space="preserve">Fecha y hora de la valoración</w:t>
            </w:r>
          </w:p>
        </w:tc>
        <w:tc>
          <w:tcPr>
            <w:tcW w:type="dxa" w:w="4819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C4D76" w:sz="4"/>
              <w:left w:val="single" w:color="2C4D76" w:sz="4"/>
              <w:bottom w:val="single" w:color="2C4D76" w:sz="4"/>
              <w:right w:val="single" w:color="2C4D76" w:sz="4"/>
            </w:tcBorders>
            <w:shd w:fill="2C4D7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PUNTUACIÓN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600"/>
        <w:gridCol w:w="1600"/>
        <w:gridCol w:w="1600"/>
        <w:gridCol w:w="1600"/>
        <w:gridCol w:w="1538"/>
      </w:tblGrid>
      <w:tr>
        <w:trPr>
          <w:tblHeader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Parámetro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1 punto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2 puntos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3 puntos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4 puntos</w:t>
            </w:r>
          </w:p>
        </w:tc>
        <w:tc>
          <w:tcPr>
            <w:tcW w:type="dxa" w:w="15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Puntos</w:t>
            </w:r>
          </w:p>
        </w:tc>
      </w:tr>
      <w:tr>
        <w:trPr>
          <w:trHeight w:val="560" w:hRule="atLeast"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Estado físico general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Muy malo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Pobre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Mediano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Bueno</w:t>
            </w:r>
          </w:p>
        </w:tc>
        <w:tc>
          <w:tcPr>
            <w:tcW w:type="dxa" w:w="15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Estado mental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Estuporoso o comatoso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Confuso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Apático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Alerta</w:t>
            </w:r>
          </w:p>
        </w:tc>
        <w:tc>
          <w:tcPr>
            <w:tcW w:type="dxa" w:w="15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Actividad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Encamado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Sentado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Camina con ayuda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Ambulante</w:t>
            </w:r>
          </w:p>
        </w:tc>
        <w:tc>
          <w:tcPr>
            <w:tcW w:type="dxa" w:w="15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Movilidad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Inmóvil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Muy limitada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Disminuida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Total</w:t>
            </w:r>
          </w:p>
        </w:tc>
        <w:tc>
          <w:tcPr>
            <w:tcW w:type="dxa" w:w="15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560" w:hRule="atLeast"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Incontinencia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Urinaria y fecal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Urinaria o fecal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Ocasional</w:t>
            </w:r>
          </w:p>
        </w:tc>
        <w:tc>
          <w:tcPr>
            <w:tcW w:type="dxa" w:w="1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Ninguna</w:t>
            </w:r>
          </w:p>
        </w:tc>
        <w:tc>
          <w:tcPr>
            <w:tcW w:type="dxa" w:w="15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E2A3A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1700"/>
        <w:gridCol w:w="1338"/>
      </w:tblGrid>
      <w:tr>
        <w:tc>
          <w:tcPr>
            <w:tcW w:type="dxa" w:w="6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Versión:  ☐ Original (corte 14)   ☐ Revisión 1987 (corte 16)   ☐ Norton-MI (INSALUD)</w:t>
            </w:r>
          </w:p>
        </w:tc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20"/>
                <w:szCs w:val="20"/>
              </w:rPr>
              <w:t xml:space="preserve">TOTAL (5 a 20)</w:t>
            </w:r>
          </w:p>
        </w:tc>
        <w:tc>
          <w:tcPr>
            <w:tcW w:type="dxa" w:w="1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C4D76" w:sz="4"/>
              <w:left w:val="single" w:color="2C4D76" w:sz="4"/>
              <w:bottom w:val="single" w:color="2C4D76" w:sz="4"/>
              <w:right w:val="single" w:color="2C4D76" w:sz="4"/>
            </w:tcBorders>
            <w:shd w:fill="2C4D7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INTERPRETACIÓN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3"/>
        <w:gridCol w:w="3213"/>
      </w:tblGrid>
      <w:tr>
        <w:trPr>
          <w:tblHeader/>
        </w:trPr>
        <w:tc>
          <w:tcPr>
            <w:tcW w:type="dxa" w:w="3212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Formulación original (1962)</w:t>
            </w:r>
          </w:p>
        </w:tc>
        <w:tc>
          <w:tcPr>
            <w:tcW w:type="dxa" w:w="3213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Revisión de Norton (1987)</w:t>
            </w:r>
          </w:p>
        </w:tc>
        <w:tc>
          <w:tcPr>
            <w:tcW w:type="dxa" w:w="3213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Norton modificada (INSALUD)</w:t>
            </w:r>
          </w:p>
        </w:tc>
      </w:tr>
      <w:tr>
        <w:trPr>
          <w:trHeight w:val="700" w:hRule="atLeast"/>
        </w:trPr>
        <w:tc>
          <w:tcPr>
            <w:tcW w:type="dxa" w:w="3212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14 o menos: riesgo. Aplicar medidas preventivas.</w:t>
            </w:r>
          </w:p>
        </w:tc>
        <w:tc>
          <w:tcPr>
            <w:tcW w:type="dxa" w:w="3213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16 o menos: riesgo. Corte ampliado por la propia autora.</w:t>
            </w:r>
          </w:p>
        </w:tc>
        <w:tc>
          <w:tcPr>
            <w:tcW w:type="dxa" w:w="3213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5 a 11: riesgo alto. 12 a 14: riesgo evidente. Más de 14: riesgo mínimo.</w:t>
            </w:r>
          </w:p>
        </w:tc>
      </w:tr>
    </w:tbl>
    <w:p>
      <w:pPr>
        <w:spacing w:after="100" w:before="100"/>
      </w:pPr>
      <w:r>
        <w:rPr>
          <w:rFonts w:ascii="Calibri" w:cs="Calibri" w:eastAsia="Calibri" w:hAnsi="Calibri"/>
          <w:color w:val="6E7B91"/>
          <w:sz w:val="17"/>
          <w:szCs w:val="17"/>
        </w:rPr>
        <w:t xml:space="preserve">Los tres criterios conviven en los centros españoles y no dan el mismo resultado. Deja siempre escrito cuál has usado: un total de 13 no significa lo mismo en una versión que en otra.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C4D76" w:sz="4"/>
              <w:left w:val="single" w:color="2C4D76" w:sz="4"/>
              <w:bottom w:val="single" w:color="2C4D76" w:sz="4"/>
              <w:right w:val="single" w:color="2C4D76" w:sz="4"/>
            </w:tcBorders>
            <w:shd w:fill="2C4D7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PLAN DE PREVENCIÓN APLICADO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9038"/>
      </w:tblGrid>
      <w:tr>
        <w:tc>
          <w:tcPr>
            <w:tcW w:type="dxa" w:w="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E2A3A"/>
                <w:sz w:val="24"/>
                <w:szCs w:val="24"/>
              </w:rPr>
              <w:t xml:space="preserve">☐</w:t>
            </w:r>
          </w:p>
        </w:tc>
        <w:tc>
          <w:tcPr>
            <w:tcW w:type="dxa" w:w="90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Cambios posturales programados, con la frecuencia registrada</w:t>
            </w:r>
          </w:p>
        </w:tc>
      </w:tr>
      <w:tr>
        <w:tc>
          <w:tcPr>
            <w:tcW w:type="dxa" w:w="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E2A3A"/>
                <w:sz w:val="24"/>
                <w:szCs w:val="24"/>
              </w:rPr>
              <w:t xml:space="preserve">☐</w:t>
            </w:r>
          </w:p>
        </w:tc>
        <w:tc>
          <w:tcPr>
            <w:tcW w:type="dxa" w:w="90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Superficie especial de manejo de la presión</w:t>
            </w:r>
          </w:p>
        </w:tc>
      </w:tr>
      <w:tr>
        <w:tc>
          <w:tcPr>
            <w:tcW w:type="dxa" w:w="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E2A3A"/>
                <w:sz w:val="24"/>
                <w:szCs w:val="24"/>
              </w:rPr>
              <w:t xml:space="preserve">☐</w:t>
            </w:r>
          </w:p>
        </w:tc>
        <w:tc>
          <w:tcPr>
            <w:tcW w:type="dxa" w:w="90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Protección de talones y prominencias óseas</w:t>
            </w:r>
          </w:p>
        </w:tc>
      </w:tr>
      <w:tr>
        <w:tc>
          <w:tcPr>
            <w:tcW w:type="dxa" w:w="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E2A3A"/>
                <w:sz w:val="24"/>
                <w:szCs w:val="24"/>
              </w:rPr>
              <w:t xml:space="preserve">☐</w:t>
            </w:r>
          </w:p>
        </w:tc>
        <w:tc>
          <w:tcPr>
            <w:tcW w:type="dxa" w:w="90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Cuidado de la piel: hidratación y manejo de la humedad</w:t>
            </w:r>
          </w:p>
        </w:tc>
      </w:tr>
      <w:tr>
        <w:tc>
          <w:tcPr>
            <w:tcW w:type="dxa" w:w="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E2A3A"/>
                <w:sz w:val="24"/>
                <w:szCs w:val="24"/>
              </w:rPr>
              <w:t xml:space="preserve">☐</w:t>
            </w:r>
          </w:p>
        </w:tc>
        <w:tc>
          <w:tcPr>
            <w:tcW w:type="dxa" w:w="90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Manejo de la incontinencia</w:t>
            </w:r>
          </w:p>
        </w:tc>
      </w:tr>
      <w:tr>
        <w:tc>
          <w:tcPr>
            <w:tcW w:type="dxa" w:w="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E2A3A"/>
                <w:sz w:val="24"/>
                <w:szCs w:val="24"/>
              </w:rPr>
              <w:t xml:space="preserve">☐</w:t>
            </w:r>
          </w:p>
        </w:tc>
        <w:tc>
          <w:tcPr>
            <w:tcW w:type="dxa" w:w="90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Valoración nutricional y suplementación si procede</w:t>
            </w:r>
          </w:p>
        </w:tc>
      </w:tr>
      <w:tr>
        <w:tc>
          <w:tcPr>
            <w:tcW w:type="dxa" w:w="6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1E2A3A"/>
                <w:sz w:val="24"/>
                <w:szCs w:val="24"/>
              </w:rPr>
              <w:t xml:space="preserve">☐</w:t>
            </w:r>
          </w:p>
        </w:tc>
        <w:tc>
          <w:tcPr>
            <w:tcW w:type="dxa" w:w="90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20"/>
                <w:szCs w:val="20"/>
              </w:rPr>
              <w:t xml:space="preserve">Educación al paciente y a la familia, de cara al alta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C4D76" w:sz="4"/>
              <w:left w:val="single" w:color="2C4D76" w:sz="4"/>
              <w:bottom w:val="single" w:color="2C4D76" w:sz="4"/>
              <w:right w:val="single" w:color="2C4D76" w:sz="4"/>
            </w:tcBorders>
            <w:shd w:fill="2C4D7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REGISTRO DE REVALORACIONES</w:t>
            </w:r>
          </w:p>
        </w:tc>
      </w:tr>
    </w:tbl>
    <w:p>
      <w:pPr>
        <w:spacing w:after="100" w:before="100"/>
      </w:pPr>
      <w:r>
        <w:rPr>
          <w:rFonts w:ascii="Calibri" w:cs="Calibri" w:eastAsia="Calibri" w:hAnsi="Calibri"/>
          <w:color w:val="6E7B91"/>
          <w:sz w:val="17"/>
          <w:szCs w:val="17"/>
        </w:rPr>
        <w:t xml:space="preserve">Al ingreso siempre, después según el protocolo del centro, y de forma extraordinaria ante cualquier cambio relevante: deterioro del estado general, intervención quirúrgica, episodio febril, cambio en el nivel de conciencia o aparición de incontinencia.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900"/>
        <w:gridCol w:w="1200"/>
        <w:gridCol w:w="4338"/>
        <w:gridCol w:w="1500"/>
      </w:tblGrid>
      <w:tr>
        <w:trPr>
          <w:tblHeader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Fecha y hora</w:t>
            </w:r>
          </w:p>
        </w:tc>
        <w:tc>
          <w:tcPr>
            <w:tcW w:type="dxa" w:w="9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Versión</w:t>
            </w:r>
          </w:p>
        </w:tc>
        <w:tc>
          <w:tcPr>
            <w:tcW w:type="dxa" w:w="4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Cambios en el plan de cuidados</w:t>
            </w:r>
          </w:p>
        </w:tc>
        <w:tc>
          <w:tcPr>
            <w:tcW w:type="dxa" w:w="15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shd w:fill="F3F5F9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E2A3A"/>
                <w:sz w:val="19"/>
                <w:szCs w:val="19"/>
              </w:rPr>
              <w:t xml:space="preserve">Firma</w:t>
            </w:r>
          </w:p>
        </w:tc>
      </w:tr>
      <w:tr>
        <w:trPr>
          <w:trHeight w:val="480" w:hRule="atLeast"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4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4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4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4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4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4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4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4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4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4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4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type="dxa" w:w="17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9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2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4338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single" w:color="9EAFC6" w:sz="4"/>
              <w:left w:val="single" w:color="9EAFC6" w:sz="4"/>
              <w:bottom w:val="single" w:color="9EAFC6" w:sz="4"/>
              <w:right w:val="single" w:color="9EAFC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E2A3A"/>
                <w:sz w:val="19"/>
                <w:szCs w:val="19"/>
              </w:rPr>
              <w:t xml:space="preserve"> 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C4D76" w:sz="4"/>
              <w:left w:val="single" w:color="2C4D76" w:sz="4"/>
              <w:bottom w:val="single" w:color="2C4D76" w:sz="4"/>
              <w:right w:val="single" w:color="2C4D76" w:sz="4"/>
            </w:tcBorders>
            <w:shd w:fill="2C4D76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NOTA SOBRE LA FIABILIDAD</w:t>
            </w:r>
          </w:p>
        </w:tc>
      </w:tr>
    </w:tbl>
    <w:p>
      <w:pPr>
        <w:spacing w:after="100" w:before="100"/>
      </w:pPr>
      <w:r>
        <w:rPr>
          <w:rFonts w:ascii="Calibri" w:cs="Calibri" w:eastAsia="Calibri" w:hAnsi="Calibri"/>
          <w:color w:val="6E7B91"/>
          <w:sz w:val="17"/>
          <w:szCs w:val="17"/>
        </w:rPr>
        <w:t xml:space="preserve">Un estudio publicado en Gerokomos en 2017 (Romanos Calvo B, Casanova Cartié N; 28(4):194-199) comparó la puntuación de dos profesionales sobre el mismo paciente y en el mismo momento, con la Norton modificada por el INSALUD, en 114 mediciones de 51 pacientes: hubo un 34 % de discordancia. La coincidencia fue del 91,2 % en Actividad y del 80,7 % en Estado mental, pero bajó al 63,2 % en Movilidad, al 39,5 % en Incontinencia y al 28,1 % en Estado físico. Acuerda por escrito en la unidad cómo se puntúan esos dos parámetros y rellena la hoja con los registros delante.</w:t>
      </w:r>
    </w:p>
    <w:p>
      <w:pPr>
        <w:spacing w:after="100" w:before="100"/>
      </w:pPr>
      <w:r>
        <w:rPr>
          <w:rFonts w:ascii="Calibri" w:cs="Calibri" w:eastAsia="Calibri" w:hAnsi="Calibri"/>
          <w:color w:val="6E7B91"/>
          <w:sz w:val="17"/>
          <w:szCs w:val="17"/>
        </w:rPr>
        <w:t xml:space="preserve">Fuentes: GNEAUPP, Documento Técnico n.º 11 (2009); Gerokomos 2017;28(4):194-199. Esta hoja es un modelo de apoyo y no sustituye al protocolo de tu centro.</w:t>
      </w:r>
    </w:p>
    <w:sectPr>
      <w:footerReference w:type="default" r:id="rId7"/>
      <w:pgSz w:w="11906" w:h="16838" w:orient="portrait"/>
      <w:pgMar w:top="1134" w:right="1134" w:bottom="1134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E7B91"/>
        <w:sz w:val="15"/>
        <w:szCs w:val="15"/>
      </w:rPr>
      <w:t xml:space="preserve">Plantilla gratuita de DriCloud, software médico para clínicas · dricloud.com/plantillas-clinicas/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37f6a11cdee5de29a15d9d0dbf6807bb45d70f6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Escala de Norton</dc:title>
  <dc:creator>DriCloud</dc:creator>
  <cp:lastModifiedBy>Un-named</cp:lastModifiedBy>
  <cp:revision>1</cp:revision>
  <dcterms:created xsi:type="dcterms:W3CDTF">2026-10-20T21:23:48.973Z</dcterms:created>
  <dcterms:modified xsi:type="dcterms:W3CDTF">2026-10-20T21:23:48.973Z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